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sz w:val="44"/>
          <w:szCs w:val="44"/>
        </w:rPr>
      </w:pPr>
    </w:p>
    <w:p>
      <w:pPr>
        <w:pStyle w:val="10"/>
        <w:jc w:val="center"/>
        <w:rPr>
          <w:rFonts w:ascii="Times New Roman" w:hAnsi="Times New Roman" w:cs="Times New Roman"/>
          <w:sz w:val="44"/>
          <w:szCs w:val="44"/>
        </w:rPr>
      </w:pPr>
      <w:r>
        <w:rPr>
          <w:rFonts w:ascii="Times New Roman" w:hAnsi="Times New Roman" w:cs="Times New Roman"/>
          <w:sz w:val="44"/>
          <w:szCs w:val="44"/>
        </w:rPr>
        <w:t>证券、期货投资咨询管理暂行办法</w:t>
      </w:r>
    </w:p>
    <w:p>
      <w:pPr>
        <w:pStyle w:val="10"/>
        <w:jc w:val="center"/>
        <w:rPr>
          <w:rFonts w:ascii="Times New Roman" w:hAnsi="Times New Roman" w:cs="Times New Roman"/>
          <w:sz w:val="32"/>
          <w:szCs w:val="32"/>
        </w:rPr>
      </w:pPr>
    </w:p>
    <w:p>
      <w:pPr>
        <w:pStyle w:val="10"/>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(1997年11月30日国务院批准　1997年12月25日国务院证券委员会发布　自1998年4月1日起施行)</w:t>
      </w:r>
    </w:p>
    <w:p>
      <w:pPr>
        <w:pStyle w:val="2"/>
        <w:bidi w:val="0"/>
      </w:pPr>
      <w:r>
        <w:t>第一章　总</w:t>
      </w:r>
      <w:bookmarkStart w:id="0" w:name="_GoBack"/>
      <w:bookmarkEnd w:id="0"/>
      <w:r>
        <w:t>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为了加强对证券、期货投资咨询活动的管理，保障投资者的合法权益和社会公共利益，制定本办法。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在中华人民共和国境内从事证券、期货投资咨询业务，必须遵守本办法。</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办法所称证券、期货投资咨询，是指从事证券、期货投资咨询业务的机构及其投资咨询人员以下列形式为证券、期货投资人或者客户提供证券、期货投资分析、预测或者建议等直接或者间接有偿咨询服务的活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(一)接受投资人或者客户委托，提供证券、期货投资咨询服务；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(二)举办有关证券、期货投资咨询的讲座、报告会、分析会等；</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(三)在报刊上发表证券、期货投资咨询的文章、评论、报告，以及通过电台、电视台等公众传播媒体提供证券、期货投资咨询服务；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(四)通过电话、传真、电脑网络等电信设备系统，提供证券、期货投资咨询服务；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(五)中国证券监督管理委员会(以下简称中国证监会)认定的其他形式。</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从事证券、期货投资咨询业务，必须依照本办法的规定，取得中国证监会的业务许可。未经中国证监会许可，任何机构和个人均不得从事本办法第二条所列各种形式证券、期货投资咨询业务。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证券经营机构、期货经纪机构及其工作人员从事超出本机构范围的证券、期货投资咨询业务，应当遵守本办法的规定。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从事证券、期货投资咨询业务，必须遵守有关法律、法规、规章和中国证监会的有关规定，遵循客观、公正和诚实信用的原则。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中国证监会及其授权的地方证券、期货监管部门(以下简称地方证管办(证监会))负责对证券、期货投资咨询业务的监督管理，并负责本办法的实施。</w:t>
      </w:r>
    </w:p>
    <w:p>
      <w:pPr>
        <w:pStyle w:val="2"/>
        <w:bidi w:val="0"/>
      </w:pPr>
      <w:r>
        <w:t>第二章　证券、期货投资咨询机构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申请证券、期货投资咨询从业资格的机构，应当具备下列条件：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分别从事证券或者期货投资咨询业务的机构，有5名以上取得证券、期货投资咨询从业资格的专职人员；同时从事证券和期货投资咨询业务的机构，有10名以上取得证券、期货投资咨询从业资格的专职人员；其高级管理人员中，至少有1名取得证券或者期货投资咨询从业资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(二)有100万元人民币以上的注册资本；</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(三)有固定的业务场所和与业务相适应的通讯及其他信息传递设施；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(四)有公司章程；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(五)有健全的内部管理制度；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(六)具备中国证监会要求的其他条件。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证券经营机构、期货经纪机构应当符合本办法第六条规定的条件，方可申请从事超出本机构范围的证券、期货投资咨询业务。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其他从事咨询业务的机构，符合本办法第六条规定的条件的，可以申请兼营证券、期货投资咨询业务。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申请证券、期货投资咨询从业资格的机构，按照下列程序审批：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请人向经中国证监会授权的所在地地方证管办(证监会)提出申请(所在地地方证管办(证监会)未经中国证监会授权的，申请人向中国证监会直接提出申请，下同)，地方证管办(证监会)经审核同意后，提出初审意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(二)地方证管办(证监会)将审核同意的申请文件报送中国证监会，经中国证监会审批后，向申请人颁发业务许可证，并将批准文件抄送地方证管办(证监会)；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(三)中国证监会将以公告形式向社会公布获得业务许可的申请人的情况。</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申请证券、期货投资咨询从业资格的机构，应当提交下列文件：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(一)中国证监会统一印制的申请表；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(二)公司章程；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(三)企业法人营业执照；</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(四)机构高级管理人员和从事证券、期货投资咨询业务人员名单及其学历、工作经历和从业资格证书；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(五)开展投资咨询业务的方式和内部管理规章制度；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(六)业务场所使用证明文件、机构通讯地址、电话和传真机号码；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(七)由注册会计师提供的验资报告；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(八)中国证监会要求提供的其他文件。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证券、期货投资咨询机构的业务方式、业务场所、主要负责人以及具有证券、期货投资咨询从业资格的业务人员发生变化的，应当自发生变化之日起5个工作日内，向地方证管办(证监会)提出变更报告，办理变更手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证券、期货投资咨询机构应当于每年1月1日至4月30日期间向地方证管办(证监会)申请办理年检。办理年检时，应当提交下列文件：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(一)年检申请报告；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(二)年度业务报告；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(三)经注册会计师审计的财务会计报表。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地方证管办(证监会)应当自收到前款所列文件之日起20个工作日内对年检申请提出审核意见；审核同意的，上报中国证监会审批。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证券、期货投资咨询机构逾期未提交年检报告或者经审核未通过年检的，不得继续从事证券、期货投资咨询业务。</w:t>
      </w:r>
    </w:p>
    <w:p>
      <w:pPr>
        <w:pStyle w:val="2"/>
        <w:bidi w:val="0"/>
      </w:pPr>
      <w:r>
        <w:t>第三章　证券、期货投资咨询人员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从事证券、期货投资咨询业务的人员，必须取得证券、期货投资咨询从业资格并加入一家有从业资格的证券、期货投资咨询机构后，方可从事证券、期货投资咨询业务。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任何人未取得证券、期货投资咨询从业资格的，或者取得证券、期货投资咨询从业资格，但是未在证券、期货投资咨询机构工作的，不得从事证券、期货投资咨询业务。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证券、期货投资咨询人员申请取得证券、期货投资咨询从业资格，必须具备下列条件：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(一)具有中华人民共和国国籍；</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(二)具有完全民事行为能力；</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(三)品行良好、正直诚实，具有良好的职业道德；</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(四)未受过刑事处罚或者与证券、期货业务有关的严重行政处罚；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(五)具有大学本科以上学历；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(六)证券投资咨询人员具有从事证券业务两年以上的经历，期货投资咨询人员具有从事期货业务两年以上的经历；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(七)通过中国证监会统一组织的证券、期货从业人员资格考试；</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(八)中国证监会规定的其他条件。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证券、期货投资咨询人员申请取得证券、期货投资咨询从业资格，按照下列程序审批：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请人向经中国证监会授权的所在地地方证管办(证监会)提出申请(所在地地方证管办(证监会)未经中国证监会授权的，申请人向中国证监会直接提出申请，下同)，地方证管办(证监会)经审核同意后，提出初审意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(二)地方证管办(证监会)将审核同意的申请文件报送中国证监会，经中国证监会审批后，向申请人颁发资格证书，并将批准文件抄送地方证管办(证监会)。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证券、期货投资咨询人员申请取得证券、期货投资咨询从业资格，应当提交下列文件：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(一)中国证监会统一印制的申请表；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(二)身份证；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(三)学历证书；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(四)参加证券、期货从业人员资格考试的成绩单；</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(五)所在单位或者户口所在地街道办事处开具的以往行为说明材料；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(六)中国证监会要求报送的其他材料。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取得证券、期货投资咨询从业资格的人员申请执业的，由所参加的证券、期货投资咨询机构向所在地地方证管办(证监会)提出申请，地方证管办(证监会)审核同意后，报中国证监会审批；准予执业的，由中国证监会颁发执业证书。</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取得证券、期货投资咨询执业资格的人员，应当在所参加的证券、期货投资咨询机构年检时同时办理执业年检。取得证券、期货投资咨询从业资格，但是未在证券、期货投资咨询机构执业的，其从业资格自取得之日起满18个月后自动失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证券、期货投资咨询人员不得同时在两个或者两个以上的证券、期货投资咨询机构执业。</w:t>
      </w:r>
    </w:p>
    <w:p>
      <w:pPr>
        <w:pStyle w:val="2"/>
        <w:bidi w:val="0"/>
      </w:pPr>
      <w:r>
        <w:t>第四章　证券、期货投资咨询业务管理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证券、期货投资咨询机构及其投资咨询人员，应当以行业公认的谨慎、诚实和勤勉尽责的态度，为投资人或者客户提供证券、期货投资咨询服务。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证券、期货投资咨询机构及其投资咨询人员，应当完整、客观、准确地运用有关信息、资料向投资人或者客户提供投资分析、预测和建议，不得断章取义地引用或者篡改有关信息、资料；引用有关信息、资料时，应当注明出处和著作权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证券、期货投资咨询机构及其投资咨询人员，不得以虚假信息、市场传言或者内幕信息为依据向投资人或者客户提供投资分析、预测或建议。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证券、期货投资咨询人员在报刊、电台、电视台或者其他传播媒体上发表投资咨询文章、报告或者意见时，必须注明所在证券、期货投资咨询机构的名称和个人真实姓名，并对投资风险作充分说明。证券、期货投资咨询机构向投资人或者客户提供的证券、期货投资咨询传真件必须注明机构名称、地址、联系电话和联系人姓名。</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证券、期货投资咨询机构与报刊、电台、电视台合办或者协办证券、期货投资咨询版面、节目或者与电信服务部门进行业务合作时，应当向地方证管办(证监会)备案，备案材料包括：合作内容、起止时间、版面安排或者节目时间段、项目负责人等，并加盖双方单位的印鉴。</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证券、期货投资咨询机构及其投资咨询人员，不得从事下列活动：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(一)代理投资人从事证券、期货买卖；</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(二)向投资人承诺证券、期货投资收益；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(三)与投资人约定分享投资收益或者分担投资损失；</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(四)为自己买卖股票及具有股票性质、功能的证券以及期货；</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(五)利用咨询服务与他人合谋操纵市场或者进行内幕交易；</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(六)法律、法规、规章所禁止的其他证券、期货欺诈行为。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证券、期货投资咨询机构就同一问题向不同客户提供的投资分析、预测或者建议应当一致。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具有自营业务的证券经营机构在从事超出本机构范围的证券投资咨询业务时，就同一问题向社会公众和其自营部门提供的咨询意见应当一致，不得为自营业务获利的需要误导社会公众。</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证券经营机构、期货经纪机构编发的供本机构内部使用的证券、期货信息简报、快讯、动态以及信息系统等，只能限于本机构范围内使用，不得通过任何途径向社会公众提供。</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经中国证监会批准的公开发行股票的公司的承销商或者上市推荐人及其所属证券投资咨询机构，不得在公众传播媒体上刊登其为客户撰写的投资价值分析报告。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中国证监会和地方证管办(证监会)有权对证券、期货投资咨询机构和投资咨询人员的业务活动进行检查，被检查的证券、期货投资咨询机构及其投资咨询人员应当予以配合，不得干扰和阻碍。</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中国证监会和地方证管办(证监会)及其工作人员在业务检查过程中，对所涉及的商业秘密应当注意保护。</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证券、期货投资咨询机构应当将其向投资人或者社会公众提供的投资咨询资料，自提供之日起保存</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年。</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地方证管办(证监会)根据投资人或者社会公众的投诉或者举报，有权要求证券、期货投资咨询机构及其投资咨询人员说明情况并提供相关资料。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任何单位和个人发现证券、期货投资咨询机构、投资咨询人员或其他机构和个人有违反本办法规定的行为时，可以向地方证管办(证监会)投诉和举报。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地方证管办(证监会)对违反本办法的行为，应当进行立案调查并将调查结果报中国证监会备案。</w:t>
      </w:r>
    </w:p>
    <w:p>
      <w:pPr>
        <w:pStyle w:val="2"/>
        <w:bidi w:val="0"/>
      </w:pPr>
      <w:r>
        <w:t>第五章　罚则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未经中国证监会许可，擅自从事本办法第二条规定的证券、期货投资咨询业务的，由地方证管办(证监会)责令停止，并处没收违法所得和违法所得等值以下的罚款。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证券、期货投资咨询机构有下列行为之一的，由地方证管办(证监会)处1万元以上，5万元以下的罚款；情节严重的，地方证管办(证监会)应当向中国证监会报告，由中国证监会作出暂停或者撤销其业务资格的处罚：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(一)向证券监管部门报送的文件、资料有虚假陈述或者重大遗漏的；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(二)未按照本办法规定履行报告和年检义务的；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(三)未按照本办法规定履行对本机构有关情况发生变化的变更手续的；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(四)本机构证券、期货投资咨询人员违反本办法规定，受到证券监管部门行政处罚的；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(五)干扰、阻碍地方证管办(证监会)检查、调查，或者隐瞒、销毁证据的。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　</w:t>
      </w:r>
      <w:r>
        <w:rPr>
          <w:rFonts w:ascii="Times New Roman" w:hAnsi="Times New Roman" w:eastAsia="仿宋_GB2312" w:cs="Times New Roman"/>
          <w:sz w:val="32"/>
          <w:szCs w:val="32"/>
        </w:rPr>
        <w:t>证券、期货投资咨询机构违反本办法第十八条、第十九条、第二十条、第二十一条、第二十二条、第二十三条、第二十四条、第二十五条、第二十八条规定的，由地方证管办(证监会)单处或者并处警告、没收违法所得、1万元以上10万元以下罚款；情节严重的，地方证管办(证监会)应当向中国证监会报告，由中国证监会作出暂停或者撤销业务资格的处罚；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　</w:t>
      </w:r>
      <w:r>
        <w:rPr>
          <w:rFonts w:ascii="Times New Roman" w:hAnsi="Times New Roman" w:eastAsia="仿宋_GB2312" w:cs="Times New Roman"/>
          <w:sz w:val="32"/>
          <w:szCs w:val="32"/>
        </w:rPr>
        <w:t>证券经营机构、期货经纪机构违反本办法第二十六条规定的，由地方证管办(证监会)责令改正，并处以警告或者1万元以上5万元以下罚款。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　</w:t>
      </w:r>
      <w:r>
        <w:rPr>
          <w:rFonts w:ascii="Times New Roman" w:hAnsi="Times New Roman" w:eastAsia="仿宋_GB2312" w:cs="Times New Roman"/>
          <w:sz w:val="32"/>
          <w:szCs w:val="32"/>
        </w:rPr>
        <w:t>证券、期货投资咨询人员违反本办法第十八条、第十九条、第二十条、第二十一条、第二十二条、第二十四条的规定或者未按本办法规定向证券主管部门履行报告、年检义务的，由地方证管办(证监会)单处或者并处警告、没收违法所得、1万元以上3万元以下罚款；情节严重的，地方证管办(证监会)应当向中国证监会报告，由中国证监会作出暂停或者撤销其业务资格的处罚；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　</w:t>
      </w:r>
      <w:r>
        <w:rPr>
          <w:rFonts w:ascii="Times New Roman" w:hAnsi="Times New Roman" w:eastAsia="仿宋_GB2312" w:cs="Times New Roman"/>
          <w:sz w:val="32"/>
          <w:szCs w:val="32"/>
        </w:rPr>
        <w:t>中国证监会和地方证管办(证监会)的工作人员玩忽职守、滥用职权、徇私舞弊，构成犯罪的，依法追究刑事责任；尚不构成犯罪的，依法给予行政处分。</w:t>
      </w:r>
    </w:p>
    <w:p>
      <w:pPr>
        <w:pStyle w:val="2"/>
        <w:bidi w:val="0"/>
      </w:pPr>
      <w:r>
        <w:t>第六章　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ascii="Times New Roman" w:hAnsi="Times New Roman" w:eastAsia="黑体" w:cs="Times New Roman"/>
          <w:sz w:val="32"/>
          <w:szCs w:val="32"/>
        </w:rPr>
        <w:t>第三十八条　</w:t>
      </w:r>
      <w:r>
        <w:rPr>
          <w:rFonts w:ascii="Times New Roman" w:hAnsi="Times New Roman" w:eastAsia="仿宋_GB2312" w:cs="Times New Roman"/>
          <w:sz w:val="32"/>
          <w:szCs w:val="32"/>
        </w:rPr>
        <w:t>本办法自1998年4月1日起施行。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誩">
    <w:altName w:val="Dark Courier"/>
    <w:panose1 w:val="00000000000000000000"/>
    <w:charset w:val="00"/>
    <w:family w:val="auto"/>
    <w:pitch w:val="default"/>
    <w:sig w:usb0="00000000" w:usb1="00000000" w:usb2="00000000" w:usb3="00000000" w:csb0="00000000" w:csb1="00000000"/>
  </w:font>
  <w:font w:name="Dark Courier">
    <w:panose1 w:val="02070409020205020404"/>
    <w:charset w:val="00"/>
    <w:family w:val="auto"/>
    <w:pitch w:val="default"/>
    <w:sig w:usb0="00000000" w:usb1="00000000" w:usb2="00000000" w:usb3="00000000" w:csb0="00000093" w:csb1="00000000"/>
  </w:font>
  <w:font w:name="誩睚">
    <w:altName w:val="Dark Courier"/>
    <w:panose1 w:val="00000000000000000000"/>
    <w:charset w:val="00"/>
    <w:family w:val="auto"/>
    <w:pitch w:val="default"/>
    <w:sig w:usb0="00000000" w:usb1="00000000" w:usb2="00000000" w:usb3="00000000" w:csb0="00000000" w:csb1="00000000"/>
  </w:font>
  <w:font w:name="誩睚黑">
    <w:altName w:val="黑体"/>
    <w:panose1 w:val="00000000000000000000"/>
    <w:charset w:val="00"/>
    <w:family w:val="auto"/>
    <w:pitch w:val="default"/>
    <w:sig w:usb0="00000000" w:usb1="00000000" w:usb2="00000000" w:usb3="00000000" w:csb0="00000000" w:csb1="00000000"/>
  </w:font>
  <w:font w:name="方">
    <w:altName w:val="Dark Courier"/>
    <w:panose1 w:val="00000000000000000000"/>
    <w:charset w:val="00"/>
    <w:family w:val="auto"/>
    <w:pitch w:val="default"/>
    <w:sig w:usb0="00000000" w:usb1="00000000" w:usb2="00000000" w:usb3="00000000" w:csb0="00000000" w:csb1="00000000"/>
  </w:font>
  <w:font w:name="方正中倩_GBK">
    <w:panose1 w:val="03000509000000000000"/>
    <w:charset w:val="86"/>
    <w:family w:val="auto"/>
    <w:pitch w:val="default"/>
    <w:sig w:usb0="00000001" w:usb1="080E0000" w:usb2="00000000" w:usb3="00000000" w:csb0="00040000" w:csb1="00000000"/>
  </w:font>
  <w:font w:name="方正">
    <w:altName w:val="Dark Courier"/>
    <w:panose1 w:val="00000000000000000000"/>
    <w:charset w:val="00"/>
    <w:family w:val="auto"/>
    <w:pitch w:val="default"/>
    <w:sig w:usb0="00000000" w:usb1="00000000" w:usb2="00000000" w:usb3="00000000" w:csb0="00000000" w:csb1="00000000"/>
  </w:font>
  <w:font w:name="方正黑">
    <w:altName w:val="黑体"/>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50AAD"/>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CF6706"/>
    <w:rsid w:val="026D2287"/>
    <w:rsid w:val="03356D16"/>
    <w:rsid w:val="03985ADA"/>
    <w:rsid w:val="09B60066"/>
    <w:rsid w:val="0B3D0578"/>
    <w:rsid w:val="0D3C4224"/>
    <w:rsid w:val="134A1994"/>
    <w:rsid w:val="155E2CB3"/>
    <w:rsid w:val="18413C16"/>
    <w:rsid w:val="19DB6C33"/>
    <w:rsid w:val="1C9212F7"/>
    <w:rsid w:val="26CA1A3A"/>
    <w:rsid w:val="28F8723D"/>
    <w:rsid w:val="2DBE0D65"/>
    <w:rsid w:val="2FF20DF5"/>
    <w:rsid w:val="32252208"/>
    <w:rsid w:val="33CF5811"/>
    <w:rsid w:val="36563D31"/>
    <w:rsid w:val="386D21AD"/>
    <w:rsid w:val="3CDF39C7"/>
    <w:rsid w:val="3D762392"/>
    <w:rsid w:val="40DC5AC3"/>
    <w:rsid w:val="4361706F"/>
    <w:rsid w:val="444B0E8A"/>
    <w:rsid w:val="47A250A3"/>
    <w:rsid w:val="4EDF3D2B"/>
    <w:rsid w:val="4EED79F5"/>
    <w:rsid w:val="5080370D"/>
    <w:rsid w:val="53BF5C69"/>
    <w:rsid w:val="58F6185E"/>
    <w:rsid w:val="591257DC"/>
    <w:rsid w:val="5DB22BFD"/>
    <w:rsid w:val="5DD739B2"/>
    <w:rsid w:val="5F5011B7"/>
    <w:rsid w:val="60492E1B"/>
    <w:rsid w:val="61152047"/>
    <w:rsid w:val="620467BA"/>
    <w:rsid w:val="622D2BEC"/>
    <w:rsid w:val="649C0E8F"/>
    <w:rsid w:val="65BF6566"/>
    <w:rsid w:val="665D25F4"/>
    <w:rsid w:val="6A403C00"/>
    <w:rsid w:val="6B4C7D1B"/>
    <w:rsid w:val="6DA577A5"/>
    <w:rsid w:val="6DB87D30"/>
    <w:rsid w:val="6E804287"/>
    <w:rsid w:val="6FE07819"/>
    <w:rsid w:val="73600220"/>
    <w:rsid w:val="762C29D0"/>
    <w:rsid w:val="769B60FD"/>
    <w:rsid w:val="7814798C"/>
    <w:rsid w:val="78ED2B64"/>
    <w:rsid w:val="7A6D55E9"/>
    <w:rsid w:val="7C0E15E2"/>
    <w:rsid w:val="7D0E2676"/>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方正黑体_GBK" w:asciiTheme="minorAscii" w:hAnsiTheme="minorAscii"/>
      <w:bCs/>
      <w:kern w:val="44"/>
      <w:sz w:val="32"/>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方正黑体_GBK" w:asciiTheme="minorAscii" w:hAnsiTheme="minorAscii"/>
      <w:bCs/>
      <w:kern w:val="44"/>
      <w:sz w:val="32"/>
      <w:szCs w:val="44"/>
    </w:rPr>
  </w:style>
  <w:style w:type="character" w:customStyle="1" w:styleId="20">
    <w:name w:val="标题 2 Char"/>
    <w:basedOn w:val="15"/>
    <w:link w:val="3"/>
    <w:semiHidden/>
    <w:qFormat/>
    <w:uiPriority w:val="9"/>
    <w:rPr>
      <w:rFonts w:asciiTheme="majorHAnsi" w:hAnsiTheme="majorHAnsi" w:eastAsiaTheme="majorEastAsia" w:cstheme="majorBidi"/>
      <w:b/>
      <w:bCs/>
      <w:sz w:val="32"/>
      <w:szCs w:val="32"/>
    </w:rPr>
  </w:style>
  <w:style w:type="character" w:customStyle="1" w:styleId="21">
    <w:name w:val="标题 3 Char"/>
    <w:basedOn w:val="15"/>
    <w:link w:val="4"/>
    <w:semiHidden/>
    <w:qFormat/>
    <w:uiPriority w:val="9"/>
    <w:rPr>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3</TotalTime>
  <ScaleCrop>false</ScaleCrop>
  <LinksUpToDate>false</LinksUpToDate>
  <CharactersWithSpaces>1790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2019-07-05T05:53:47Z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